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A9" w:rsidRDefault="009244A9">
      <w:pPr>
        <w:widowControl w:val="0"/>
        <w:contextualSpacing w:val="0"/>
      </w:pPr>
    </w:p>
    <w:tbl>
      <w:tblPr>
        <w:tblStyle w:val="a"/>
        <w:tblW w:w="538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1102"/>
        <w:gridCol w:w="4279"/>
      </w:tblGrid>
      <w:tr w:rsidR="009244A9">
        <w:tc>
          <w:tcPr>
            <w:tcW w:w="1102" w:type="dxa"/>
          </w:tcPr>
          <w:p w:rsidR="009244A9" w:rsidRDefault="00F04EE4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inline distT="0" distB="0" distL="114300" distR="114300">
                  <wp:extent cx="561975" cy="7143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:rsidR="009244A9" w:rsidRDefault="009244A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44A9" w:rsidRDefault="009244A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44A9" w:rsidRDefault="00F04E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 DEL SALVADOR</w:t>
            </w:r>
          </w:p>
          <w:p w:rsidR="009244A9" w:rsidRDefault="00F04E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Architecture</w:t>
            </w:r>
            <w:proofErr w:type="spellEnd"/>
          </w:p>
        </w:tc>
      </w:tr>
    </w:tbl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44A9" w:rsidRDefault="00F04EE4">
      <w:pPr>
        <w:pStyle w:val="Ttulo1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SYLLABUS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CAREER: </w:t>
      </w:r>
      <w:proofErr w:type="spellStart"/>
      <w:r>
        <w:rPr>
          <w:b/>
        </w:rPr>
        <w:t>Theatre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Arts</w:t>
      </w:r>
      <w:proofErr w:type="spellEnd"/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COURSE: </w:t>
      </w:r>
      <w:r w:rsidR="0082275A">
        <w:rPr>
          <w:rFonts w:ascii="Times New Roman" w:eastAsia="Times New Roman" w:hAnsi="Times New Roman" w:cs="Times New Roman"/>
          <w:b/>
          <w:sz w:val="24"/>
          <w:szCs w:val="24"/>
        </w:rPr>
        <w:t xml:space="preserve">105- ARTISTIC ANATOMY (Figure </w:t>
      </w:r>
      <w:proofErr w:type="spellStart"/>
      <w:r w:rsidR="0082275A">
        <w:rPr>
          <w:rFonts w:ascii="Times New Roman" w:eastAsia="Times New Roman" w:hAnsi="Times New Roman" w:cs="Times New Roman"/>
          <w:b/>
          <w:sz w:val="24"/>
          <w:szCs w:val="24"/>
        </w:rPr>
        <w:t>Drawing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82275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YEAR: 2019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b/>
        </w:rPr>
        <w:t>Centro, Capital Federal. Buenos Aires.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PROFESSOR: </w:t>
      </w:r>
      <w:r>
        <w:rPr>
          <w:rFonts w:ascii="Times New Roman" w:eastAsia="Times New Roman" w:hAnsi="Times New Roman" w:cs="Times New Roman"/>
          <w:sz w:val="24"/>
          <w:szCs w:val="24"/>
        </w:rPr>
        <w:t>HAN CHO, Florencia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HOURS: </w:t>
      </w:r>
      <w:r>
        <w:rPr>
          <w:b/>
        </w:rPr>
        <w:t xml:space="preserve">2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hours</w:t>
      </w:r>
      <w:proofErr w:type="spellEnd"/>
      <w:r>
        <w:rPr>
          <w:b/>
        </w:rPr>
        <w:t>/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</w:t>
      </w:r>
    </w:p>
    <w:p w:rsidR="009244A9" w:rsidRDefault="009244A9">
      <w:pPr>
        <w:spacing w:line="240" w:lineRule="auto"/>
        <w:ind w:left="360"/>
        <w:contextualSpacing w:val="0"/>
        <w:jc w:val="both"/>
        <w:rPr>
          <w:b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DESCRIPTION:</w:t>
      </w:r>
    </w:p>
    <w:p w:rsidR="009244A9" w:rsidRDefault="009244A9">
      <w:pPr>
        <w:spacing w:line="240" w:lineRule="auto"/>
        <w:contextualSpacing w:val="0"/>
        <w:jc w:val="both"/>
      </w:pPr>
    </w:p>
    <w:p w:rsidR="009244A9" w:rsidRDefault="00F04EE4">
      <w:pPr>
        <w:spacing w:line="240" w:lineRule="auto"/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Figure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visual </w:t>
      </w:r>
      <w:proofErr w:type="spellStart"/>
      <w:proofErr w:type="gramStart"/>
      <w:r>
        <w:t>senses</w:t>
      </w:r>
      <w:proofErr w:type="spellEnd"/>
      <w:proofErr w:type="gram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figure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FIELD: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4A9" w:rsidRDefault="00F04EE4">
      <w:pPr>
        <w:spacing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Human Figure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drawing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OBJECTIVES:</w:t>
      </w:r>
    </w:p>
    <w:p w:rsidR="009244A9" w:rsidRDefault="009244A9">
      <w:pPr>
        <w:widowControl w:val="0"/>
        <w:spacing w:line="240" w:lineRule="auto"/>
        <w:contextualSpacing w:val="0"/>
        <w:jc w:val="both"/>
        <w:rPr>
          <w:sz w:val="24"/>
          <w:szCs w:val="24"/>
        </w:rPr>
      </w:pPr>
    </w:p>
    <w:p w:rsidR="009244A9" w:rsidRDefault="00F04EE4">
      <w:pPr>
        <w:widowControl w:val="0"/>
        <w:spacing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</w:p>
    <w:p w:rsidR="009244A9" w:rsidRDefault="00F04EE4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Understands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drawing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composition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human figure</w:t>
      </w:r>
    </w:p>
    <w:p w:rsidR="009244A9" w:rsidRDefault="00F04EE4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Acquires</w:t>
      </w:r>
      <w:proofErr w:type="spellEnd"/>
      <w:r>
        <w:rPr>
          <w:sz w:val="24"/>
          <w:szCs w:val="24"/>
        </w:rPr>
        <w:t xml:space="preserve"> visual </w:t>
      </w:r>
      <w:proofErr w:type="spellStart"/>
      <w:r>
        <w:rPr>
          <w:sz w:val="24"/>
          <w:szCs w:val="24"/>
        </w:rPr>
        <w:t>ability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external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proportions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human figure</w:t>
      </w:r>
    </w:p>
    <w:p w:rsidR="009244A9" w:rsidRDefault="009244A9">
      <w:pPr>
        <w:spacing w:line="240" w:lineRule="auto"/>
        <w:contextualSpacing w:val="0"/>
        <w:jc w:val="both"/>
        <w:rPr>
          <w:sz w:val="20"/>
          <w:szCs w:val="20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CONTENT:</w:t>
      </w:r>
    </w:p>
    <w:p w:rsidR="009244A9" w:rsidRDefault="009244A9">
      <w:pPr>
        <w:spacing w:line="240" w:lineRule="auto"/>
        <w:contextualSpacing w:val="0"/>
        <w:rPr>
          <w:b/>
          <w:sz w:val="24"/>
          <w:szCs w:val="24"/>
        </w:rPr>
      </w:pPr>
    </w:p>
    <w:p w:rsidR="009244A9" w:rsidRDefault="009244A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9244A9" w:rsidRDefault="00F04EE4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Internal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external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human </w:t>
      </w:r>
      <w:proofErr w:type="spellStart"/>
      <w:r>
        <w:rPr>
          <w:sz w:val="24"/>
          <w:szCs w:val="24"/>
        </w:rPr>
        <w:t>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Reinassance’s</w:t>
      </w:r>
      <w:proofErr w:type="spellEnd"/>
      <w:r>
        <w:rPr>
          <w:sz w:val="24"/>
          <w:szCs w:val="24"/>
        </w:rPr>
        <w:t xml:space="preserve"> Canon (</w:t>
      </w:r>
      <w:proofErr w:type="spellStart"/>
      <w:r>
        <w:rPr>
          <w:sz w:val="24"/>
          <w:szCs w:val="24"/>
        </w:rPr>
        <w:t>subdivision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>)</w:t>
      </w:r>
    </w:p>
    <w:p w:rsidR="009244A9" w:rsidRDefault="009244A9">
      <w:pPr>
        <w:widowControl w:val="0"/>
        <w:spacing w:line="240" w:lineRule="auto"/>
        <w:ind w:left="720"/>
        <w:contextualSpacing w:val="0"/>
        <w:rPr>
          <w:sz w:val="24"/>
          <w:szCs w:val="24"/>
        </w:rPr>
      </w:pP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Da Vinci, Leonardo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Tratado de Pintura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Akal</w:t>
      </w:r>
      <w:proofErr w:type="spellEnd"/>
      <w:r>
        <w:rPr>
          <w:sz w:val="20"/>
          <w:szCs w:val="20"/>
        </w:rPr>
        <w:t xml:space="preserve"> Ediciones; 1998, Madrid.</w:t>
      </w:r>
    </w:p>
    <w:p w:rsidR="009244A9" w:rsidRDefault="00F04EE4">
      <w:pPr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LOOMIS, Andrew; </w:t>
      </w:r>
      <w:r>
        <w:rPr>
          <w:sz w:val="20"/>
          <w:szCs w:val="20"/>
          <w:u w:val="single"/>
        </w:rPr>
        <w:t>El dibujo de figura en todo su valor</w:t>
      </w:r>
      <w:r>
        <w:rPr>
          <w:sz w:val="20"/>
          <w:szCs w:val="20"/>
        </w:rPr>
        <w:t xml:space="preserve">, Ed. </w:t>
      </w:r>
      <w:proofErr w:type="spellStart"/>
      <w:r>
        <w:rPr>
          <w:sz w:val="20"/>
          <w:szCs w:val="20"/>
        </w:rPr>
        <w:t>Lancelot</w:t>
      </w:r>
      <w:proofErr w:type="spellEnd"/>
      <w:r>
        <w:rPr>
          <w:sz w:val="20"/>
          <w:szCs w:val="20"/>
        </w:rPr>
        <w:t>, 2005, Buenos Aires</w:t>
      </w:r>
    </w:p>
    <w:p w:rsidR="009244A9" w:rsidRDefault="009244A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244A9" w:rsidRDefault="009244A9">
      <w:pPr>
        <w:widowControl w:val="0"/>
        <w:spacing w:line="240" w:lineRule="auto"/>
        <w:contextualSpacing w:val="0"/>
        <w:rPr>
          <w:i/>
          <w:sz w:val="24"/>
          <w:szCs w:val="24"/>
        </w:rPr>
      </w:pPr>
    </w:p>
    <w:p w:rsidR="009244A9" w:rsidRDefault="00F04EE4">
      <w:pPr>
        <w:widowControl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Geometric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analitic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comprehension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sketch</w:t>
      </w:r>
    </w:p>
    <w:p w:rsidR="009244A9" w:rsidRDefault="009244A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Da Vinci, Leonardo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Tratado de Pintura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Akal</w:t>
      </w:r>
      <w:proofErr w:type="spellEnd"/>
      <w:r>
        <w:rPr>
          <w:sz w:val="20"/>
          <w:szCs w:val="20"/>
        </w:rPr>
        <w:t xml:space="preserve"> Ediciones; 1998, Madrid.</w:t>
      </w:r>
    </w:p>
    <w:p w:rsidR="009244A9" w:rsidRDefault="00F04EE4">
      <w:pPr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LOOMIS, Andrew; </w:t>
      </w:r>
      <w:r>
        <w:rPr>
          <w:sz w:val="20"/>
          <w:szCs w:val="20"/>
          <w:u w:val="single"/>
        </w:rPr>
        <w:t>El dibujo de figura en todo su valor</w:t>
      </w:r>
      <w:r>
        <w:rPr>
          <w:sz w:val="20"/>
          <w:szCs w:val="20"/>
        </w:rPr>
        <w:t xml:space="preserve">, Ed. </w:t>
      </w:r>
      <w:proofErr w:type="spellStart"/>
      <w:r>
        <w:rPr>
          <w:sz w:val="20"/>
          <w:szCs w:val="20"/>
        </w:rPr>
        <w:t>Lancelot</w:t>
      </w:r>
      <w:proofErr w:type="spellEnd"/>
      <w:r>
        <w:rPr>
          <w:sz w:val="20"/>
          <w:szCs w:val="20"/>
        </w:rPr>
        <w:t>, 2005, Buenos Aires</w:t>
      </w: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Sarah </w:t>
      </w:r>
      <w:proofErr w:type="spellStart"/>
      <w:r>
        <w:rPr>
          <w:b/>
          <w:sz w:val="20"/>
          <w:szCs w:val="20"/>
        </w:rPr>
        <w:t>Simblet</w:t>
      </w:r>
      <w:proofErr w:type="spellEnd"/>
      <w:r>
        <w:rPr>
          <w:b/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Anatomía para el artista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Blume</w:t>
      </w:r>
      <w:proofErr w:type="spellEnd"/>
      <w:r>
        <w:rPr>
          <w:sz w:val="20"/>
          <w:szCs w:val="20"/>
        </w:rPr>
        <w:t>, 2002, China</w:t>
      </w:r>
      <w:r>
        <w:rPr>
          <w:b/>
          <w:sz w:val="20"/>
          <w:szCs w:val="20"/>
        </w:rPr>
        <w:t xml:space="preserve">  </w:t>
      </w:r>
    </w:p>
    <w:p w:rsidR="009244A9" w:rsidRDefault="009244A9">
      <w:pPr>
        <w:spacing w:line="240" w:lineRule="auto"/>
        <w:contextualSpacing w:val="0"/>
        <w:rPr>
          <w:sz w:val="20"/>
          <w:szCs w:val="20"/>
        </w:rPr>
      </w:pPr>
    </w:p>
    <w:p w:rsidR="009244A9" w:rsidRDefault="00F04EE4">
      <w:pPr>
        <w:widowControl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3) Axis of balance and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Human figure.</w:t>
      </w: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Da Vinci, Leonardo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Tratado de Pintura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Akal</w:t>
      </w:r>
      <w:proofErr w:type="spellEnd"/>
      <w:r>
        <w:rPr>
          <w:sz w:val="20"/>
          <w:szCs w:val="20"/>
        </w:rPr>
        <w:t xml:space="preserve"> Ediciones; 1998, Madrid.</w:t>
      </w: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Sarah </w:t>
      </w:r>
      <w:proofErr w:type="spellStart"/>
      <w:r>
        <w:rPr>
          <w:b/>
          <w:sz w:val="20"/>
          <w:szCs w:val="20"/>
        </w:rPr>
        <w:t>Simblet</w:t>
      </w:r>
      <w:proofErr w:type="spellEnd"/>
      <w:r>
        <w:rPr>
          <w:b/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Anatomía para el artista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Blume</w:t>
      </w:r>
      <w:proofErr w:type="spellEnd"/>
      <w:r>
        <w:rPr>
          <w:sz w:val="20"/>
          <w:szCs w:val="20"/>
        </w:rPr>
        <w:t>, 2002, China</w:t>
      </w:r>
      <w:r>
        <w:rPr>
          <w:b/>
          <w:sz w:val="20"/>
          <w:szCs w:val="20"/>
        </w:rPr>
        <w:t xml:space="preserve"> </w:t>
      </w:r>
    </w:p>
    <w:p w:rsidR="009244A9" w:rsidRDefault="00F04EE4">
      <w:pPr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LOOMIS, Andrew; </w:t>
      </w:r>
      <w:r>
        <w:rPr>
          <w:sz w:val="20"/>
          <w:szCs w:val="20"/>
          <w:u w:val="single"/>
        </w:rPr>
        <w:t>El dibujo de figura en todo su valor</w:t>
      </w:r>
      <w:r>
        <w:rPr>
          <w:sz w:val="20"/>
          <w:szCs w:val="20"/>
        </w:rPr>
        <w:t xml:space="preserve">, Ed. </w:t>
      </w:r>
      <w:proofErr w:type="spellStart"/>
      <w:r>
        <w:rPr>
          <w:sz w:val="20"/>
          <w:szCs w:val="20"/>
        </w:rPr>
        <w:t>Lancelot</w:t>
      </w:r>
      <w:proofErr w:type="spellEnd"/>
      <w:r>
        <w:rPr>
          <w:sz w:val="20"/>
          <w:szCs w:val="20"/>
        </w:rPr>
        <w:t>, 2005, Buenos Aires</w:t>
      </w:r>
    </w:p>
    <w:p w:rsidR="009244A9" w:rsidRDefault="00F04EE4">
      <w:pPr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Kandinsky, </w:t>
      </w:r>
      <w:proofErr w:type="spellStart"/>
      <w:r>
        <w:rPr>
          <w:b/>
          <w:sz w:val="20"/>
          <w:szCs w:val="20"/>
        </w:rPr>
        <w:t>Vasili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Punto y línea sobre plano</w:t>
      </w:r>
      <w:r>
        <w:rPr>
          <w:sz w:val="20"/>
          <w:szCs w:val="20"/>
        </w:rPr>
        <w:t>; Andrómeda; 1998; Buenos Aires.</w:t>
      </w:r>
    </w:p>
    <w:p w:rsidR="009244A9" w:rsidRDefault="009244A9">
      <w:pPr>
        <w:widowControl w:val="0"/>
        <w:spacing w:line="240" w:lineRule="auto"/>
        <w:contextualSpacing w:val="0"/>
        <w:rPr>
          <w:sz w:val="20"/>
          <w:szCs w:val="20"/>
        </w:rPr>
      </w:pPr>
    </w:p>
    <w:p w:rsidR="009244A9" w:rsidRDefault="00F04EE4">
      <w:pPr>
        <w:widowControl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4) Simple and </w:t>
      </w:r>
      <w:proofErr w:type="spellStart"/>
      <w:r>
        <w:rPr>
          <w:sz w:val="24"/>
          <w:szCs w:val="24"/>
        </w:rPr>
        <w:t>complex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foreshortening</w:t>
      </w:r>
      <w:proofErr w:type="spellEnd"/>
      <w:r>
        <w:rPr>
          <w:sz w:val="24"/>
          <w:szCs w:val="24"/>
        </w:rPr>
        <w:t xml:space="preserve">. Pelvis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>.</w:t>
      </w: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Da Vinci, Leonardo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Tratado de Pintura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Akal</w:t>
      </w:r>
      <w:proofErr w:type="spellEnd"/>
      <w:r>
        <w:rPr>
          <w:sz w:val="20"/>
          <w:szCs w:val="20"/>
        </w:rPr>
        <w:t xml:space="preserve"> Ediciones; 1998, Madrid.</w:t>
      </w:r>
    </w:p>
    <w:p w:rsidR="009244A9" w:rsidRDefault="009244A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9244A9" w:rsidRDefault="00F04EE4">
      <w:pPr>
        <w:widowControl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5) Head, </w:t>
      </w:r>
      <w:proofErr w:type="spellStart"/>
      <w:r>
        <w:rPr>
          <w:sz w:val="24"/>
          <w:szCs w:val="24"/>
        </w:rPr>
        <w:t>hand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foot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drawing</w:t>
      </w:r>
      <w:proofErr w:type="spellEnd"/>
    </w:p>
    <w:p w:rsidR="009244A9" w:rsidRDefault="009244A9">
      <w:pPr>
        <w:spacing w:line="240" w:lineRule="auto"/>
        <w:contextualSpacing w:val="0"/>
        <w:rPr>
          <w:sz w:val="24"/>
          <w:szCs w:val="24"/>
        </w:rPr>
      </w:pP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Da Vinci, Leonardo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Tratado de Pintura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Akal</w:t>
      </w:r>
      <w:proofErr w:type="spellEnd"/>
      <w:r>
        <w:rPr>
          <w:sz w:val="20"/>
          <w:szCs w:val="20"/>
        </w:rPr>
        <w:t xml:space="preserve"> Ediciones; 1998, Madrid.</w:t>
      </w: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Sarah </w:t>
      </w:r>
      <w:proofErr w:type="spellStart"/>
      <w:r>
        <w:rPr>
          <w:b/>
          <w:sz w:val="20"/>
          <w:szCs w:val="20"/>
        </w:rPr>
        <w:t>Simblet</w:t>
      </w:r>
      <w:proofErr w:type="spellEnd"/>
      <w:r>
        <w:rPr>
          <w:b/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Anatomía para el artista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Blume</w:t>
      </w:r>
      <w:proofErr w:type="spellEnd"/>
      <w:r>
        <w:rPr>
          <w:sz w:val="20"/>
          <w:szCs w:val="20"/>
        </w:rPr>
        <w:t>, 2002, China</w:t>
      </w:r>
      <w:r>
        <w:rPr>
          <w:b/>
          <w:sz w:val="20"/>
          <w:szCs w:val="20"/>
        </w:rPr>
        <w:t xml:space="preserve">  </w:t>
      </w:r>
    </w:p>
    <w:p w:rsidR="009244A9" w:rsidRDefault="009244A9">
      <w:pPr>
        <w:widowControl w:val="0"/>
        <w:spacing w:line="240" w:lineRule="auto"/>
        <w:ind w:left="720"/>
        <w:contextualSpacing w:val="0"/>
        <w:rPr>
          <w:sz w:val="20"/>
          <w:szCs w:val="20"/>
        </w:rPr>
      </w:pPr>
    </w:p>
    <w:p w:rsidR="009244A9" w:rsidRDefault="00F04EE4">
      <w:pPr>
        <w:widowControl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distribution</w:t>
      </w:r>
      <w:proofErr w:type="spellEnd"/>
      <w:r>
        <w:rPr>
          <w:sz w:val="24"/>
          <w:szCs w:val="24"/>
        </w:rPr>
        <w:t xml:space="preserve">: Inferior and superior </w:t>
      </w:r>
      <w:proofErr w:type="spellStart"/>
      <w:r>
        <w:rPr>
          <w:sz w:val="24"/>
          <w:szCs w:val="24"/>
        </w:rPr>
        <w:t>bodyparts</w:t>
      </w:r>
      <w:proofErr w:type="spellEnd"/>
    </w:p>
    <w:p w:rsidR="009244A9" w:rsidRDefault="009244A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Da Vinci, Leonardo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Tratado de Pintura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Akal</w:t>
      </w:r>
      <w:proofErr w:type="spellEnd"/>
      <w:r>
        <w:rPr>
          <w:sz w:val="20"/>
          <w:szCs w:val="20"/>
        </w:rPr>
        <w:t xml:space="preserve"> Ediciones; 1998, Madrid.</w:t>
      </w: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Eco, </w:t>
      </w:r>
      <w:proofErr w:type="spellStart"/>
      <w:r>
        <w:rPr>
          <w:b/>
          <w:sz w:val="20"/>
          <w:szCs w:val="20"/>
        </w:rPr>
        <w:t>Umberto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Historia de la Belleza</w:t>
      </w:r>
      <w:r>
        <w:rPr>
          <w:sz w:val="20"/>
          <w:szCs w:val="20"/>
        </w:rPr>
        <w:t xml:space="preserve">; Lumen, 2006, Italia. </w:t>
      </w:r>
    </w:p>
    <w:p w:rsidR="009244A9" w:rsidRDefault="009244A9">
      <w:pPr>
        <w:widowControl w:val="0"/>
        <w:spacing w:line="240" w:lineRule="auto"/>
        <w:contextualSpacing w:val="0"/>
        <w:rPr>
          <w:sz w:val="20"/>
          <w:szCs w:val="20"/>
        </w:rPr>
      </w:pPr>
    </w:p>
    <w:p w:rsidR="009244A9" w:rsidRDefault="00F04EE4">
      <w:pPr>
        <w:widowControl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Lights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shadows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Types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gradations</w:t>
      </w:r>
      <w:proofErr w:type="spellEnd"/>
    </w:p>
    <w:p w:rsidR="009244A9" w:rsidRDefault="009244A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Ruskin</w:t>
      </w:r>
      <w:proofErr w:type="spellEnd"/>
      <w:r>
        <w:rPr>
          <w:b/>
          <w:sz w:val="20"/>
          <w:szCs w:val="20"/>
        </w:rPr>
        <w:t>, John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Elementos de Dibujo, Colorido y Composición</w:t>
      </w:r>
      <w:r>
        <w:rPr>
          <w:sz w:val="20"/>
          <w:szCs w:val="20"/>
        </w:rPr>
        <w:t>; Centauro; 1946; D.F México.</w:t>
      </w:r>
    </w:p>
    <w:p w:rsidR="009244A9" w:rsidRDefault="00F04EE4">
      <w:pPr>
        <w:widowControl w:val="0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Kandinsky </w:t>
      </w:r>
      <w:proofErr w:type="spellStart"/>
      <w:r>
        <w:rPr>
          <w:b/>
          <w:sz w:val="20"/>
          <w:szCs w:val="20"/>
        </w:rPr>
        <w:t>Vasili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  <w:u w:val="single"/>
        </w:rPr>
        <w:t>De lo Espiritual en el Arte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Paidòs</w:t>
      </w:r>
      <w:proofErr w:type="spellEnd"/>
      <w:r>
        <w:rPr>
          <w:sz w:val="20"/>
          <w:szCs w:val="20"/>
        </w:rPr>
        <w:t xml:space="preserve"> Estética; 2006; Buenos Aires.</w:t>
      </w:r>
    </w:p>
    <w:p w:rsidR="009244A9" w:rsidRDefault="009244A9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METHODOLOGY:</w:t>
      </w:r>
    </w:p>
    <w:p w:rsidR="009244A9" w:rsidRDefault="009244A9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A9" w:rsidRDefault="00F04EE4">
      <w:pPr>
        <w:spacing w:line="240" w:lineRule="auto"/>
        <w:contextualSpacing w:val="0"/>
        <w:jc w:val="both"/>
      </w:pPr>
      <w:r>
        <w:t xml:space="preserve">Content </w:t>
      </w:r>
      <w:proofErr w:type="spellStart"/>
      <w:r>
        <w:t>exposition</w:t>
      </w:r>
      <w:proofErr w:type="spellEnd"/>
      <w:r>
        <w:t xml:space="preserve"> and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demostration</w:t>
      </w:r>
      <w:proofErr w:type="spellEnd"/>
      <w:r>
        <w:t xml:space="preserve">.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nature</w:t>
      </w:r>
      <w:proofErr w:type="spellEnd"/>
      <w:r>
        <w:t xml:space="preserve"> and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portrait</w:t>
      </w:r>
      <w:proofErr w:type="spellEnd"/>
    </w:p>
    <w:p w:rsidR="009244A9" w:rsidRDefault="009244A9">
      <w:pPr>
        <w:spacing w:line="240" w:lineRule="auto"/>
        <w:contextualSpacing w:val="0"/>
        <w:jc w:val="both"/>
      </w:pPr>
    </w:p>
    <w:p w:rsidR="009244A9" w:rsidRDefault="00F04EE4">
      <w:pPr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EXAM:</w:t>
      </w:r>
    </w:p>
    <w:p w:rsidR="009244A9" w:rsidRDefault="009244A9">
      <w:pPr>
        <w:spacing w:line="240" w:lineRule="auto"/>
        <w:contextualSpacing w:val="0"/>
        <w:jc w:val="both"/>
        <w:rPr>
          <w:color w:val="222222"/>
          <w:highlight w:val="white"/>
        </w:rPr>
      </w:pPr>
    </w:p>
    <w:p w:rsidR="009244A9" w:rsidRDefault="00F04EE4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color w:val="222222"/>
          <w:highlight w:val="white"/>
        </w:rPr>
        <w:t>Student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progress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homework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assignments</w:t>
      </w:r>
      <w:proofErr w:type="spellEnd"/>
      <w:r>
        <w:rPr>
          <w:color w:val="222222"/>
          <w:highlight w:val="white"/>
        </w:rPr>
        <w:t xml:space="preserve"> and </w:t>
      </w:r>
      <w:proofErr w:type="spellStart"/>
      <w:r>
        <w:rPr>
          <w:color w:val="222222"/>
          <w:highlight w:val="white"/>
        </w:rPr>
        <w:t>participation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through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course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will</w:t>
      </w:r>
      <w:proofErr w:type="spellEnd"/>
      <w:r>
        <w:rPr>
          <w:color w:val="222222"/>
          <w:highlight w:val="white"/>
        </w:rPr>
        <w:t xml:space="preserve"> be </w:t>
      </w:r>
      <w:proofErr w:type="spellStart"/>
      <w:r>
        <w:rPr>
          <w:color w:val="222222"/>
          <w:highlight w:val="white"/>
        </w:rPr>
        <w:t>evaluated</w:t>
      </w:r>
      <w:proofErr w:type="spellEnd"/>
      <w:r>
        <w:rPr>
          <w:color w:val="222222"/>
          <w:highlight w:val="white"/>
        </w:rPr>
        <w:t xml:space="preserve"> as a </w:t>
      </w:r>
      <w:proofErr w:type="spellStart"/>
      <w:r>
        <w:rPr>
          <w:color w:val="222222"/>
          <w:highlight w:val="white"/>
        </w:rPr>
        <w:t>whole</w:t>
      </w:r>
      <w:proofErr w:type="spellEnd"/>
      <w:r>
        <w:rPr>
          <w:color w:val="222222"/>
          <w:highlight w:val="white"/>
        </w:rPr>
        <w:t xml:space="preserve"> in </w:t>
      </w:r>
      <w:proofErr w:type="spellStart"/>
      <w:r>
        <w:rPr>
          <w:color w:val="222222"/>
          <w:highlight w:val="white"/>
        </w:rPr>
        <w:t>the</w:t>
      </w:r>
      <w:proofErr w:type="spellEnd"/>
      <w:r>
        <w:rPr>
          <w:color w:val="222222"/>
          <w:highlight w:val="white"/>
        </w:rPr>
        <w:t xml:space="preserve"> final </w:t>
      </w:r>
      <w:proofErr w:type="spellStart"/>
      <w:r>
        <w:rPr>
          <w:color w:val="222222"/>
          <w:highlight w:val="white"/>
        </w:rPr>
        <w:t>class</w:t>
      </w:r>
      <w:proofErr w:type="spellEnd"/>
      <w:r>
        <w:rPr>
          <w:color w:val="222222"/>
          <w:highlight w:val="white"/>
        </w:rPr>
        <w:t>.</w:t>
      </w:r>
    </w:p>
    <w:p w:rsidR="009244A9" w:rsidRDefault="009244A9">
      <w:pPr>
        <w:spacing w:line="240" w:lineRule="auto"/>
        <w:contextualSpacing w:val="0"/>
        <w:jc w:val="both"/>
      </w:pPr>
    </w:p>
    <w:sectPr w:rsidR="009244A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C7F"/>
    <w:multiLevelType w:val="multilevel"/>
    <w:tmpl w:val="288253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E512E7"/>
    <w:multiLevelType w:val="multilevel"/>
    <w:tmpl w:val="A5DA3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DF35CE"/>
    <w:multiLevelType w:val="multilevel"/>
    <w:tmpl w:val="A49A5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1E61093"/>
    <w:multiLevelType w:val="multilevel"/>
    <w:tmpl w:val="04B274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44A9"/>
    <w:rsid w:val="0082275A"/>
    <w:rsid w:val="009244A9"/>
    <w:rsid w:val="00F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Liliana Billo - Escuela de Arte y Arquitectura</cp:lastModifiedBy>
  <cp:revision>3</cp:revision>
  <dcterms:created xsi:type="dcterms:W3CDTF">2018-11-20T19:43:00Z</dcterms:created>
  <dcterms:modified xsi:type="dcterms:W3CDTF">2018-11-22T20:15:00Z</dcterms:modified>
</cp:coreProperties>
</file>